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</w:rPr>
        <w:t>KÚPNA ZMLUVA</w:t>
      </w:r>
    </w:p>
    <w:p w:rsidR="00294569" w:rsidRDefault="0029456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uzatvorená v zmysle ustanovení § 588 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nasl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zákona č. 40/1964 Zb. Občiansky zákonník v platnom znení</w:t>
      </w:r>
    </w:p>
    <w:p w:rsidR="00294569" w:rsidRDefault="0029456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(ďalej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Zmluva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</w:p>
    <w:p w:rsidR="00294569" w:rsidRDefault="0029456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medzi</w:t>
      </w:r>
    </w:p>
    <w:p w:rsidR="00294569" w:rsidRDefault="0029456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Predávajúcim: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Názov: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>Automobilové opravovne Ministerstva vnútra Slovenskej republiky, a. s.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IČO: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44 855 206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Sídlo: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Sklabinská 20, 831 06 Bratislava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Zápis v registri: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Obchodný register Okresného súdu Bratislava I, odd.: Sa,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vl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č.: 4804/B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DIČ: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2022850203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IČ DPH: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>K202285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0203 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Bankové spojenie: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IBAN: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BIC / SWIFT: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Zastúpený: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Ing. Peter Mitura</w:t>
      </w:r>
      <w:r w:rsidR="003C0653">
        <w:rPr>
          <w:rFonts w:ascii="Times New Roman" w:eastAsia="Times New Roman" w:hAnsi="Times New Roman" w:cs="Times New Roman"/>
          <w:color w:val="00000A"/>
          <w:sz w:val="24"/>
        </w:rPr>
        <w:t xml:space="preserve"> -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predseda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predstavestva</w:t>
      </w:r>
      <w:proofErr w:type="spellEnd"/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="003C0653">
        <w:rPr>
          <w:rFonts w:ascii="Times New Roman" w:eastAsia="Times New Roman" w:hAnsi="Times New Roman" w:cs="Times New Roman"/>
          <w:color w:val="00000A"/>
          <w:sz w:val="24"/>
        </w:rPr>
        <w:t>Ing. Pavol Pračko -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člen predstavenstva</w:t>
      </w:r>
    </w:p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(ďalej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Predávajúci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</w:p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</w:t>
      </w:r>
    </w:p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Kupujúcim: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(vyplní kupujúci)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Názov: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IČO: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Sídlo: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Zápis v registri: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DIČ: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IČ DPH: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Bankové spojenie: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IBAN: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BIC / SWIFT: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Zastúpený: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telefonický kontakt: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e-mail: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alebo v prípade fyzickej osoby – živnostníka: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Obchodné meno: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IČO: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DIČ: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IČ DPH: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 a priezvisko: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Rodné priezvisko: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Dátum narodenia: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Rodné číslo: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Trvalé bydlisko: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Štátne občianstvo: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Bankové spojenie: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IBAN: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BIC / SWIFT: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telefonický kontakt: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e-mail: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alebo v prípade fyzickej osoby: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 a priezvisko: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Rodné priezvisko: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Dátum narodenia: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Rodné číslo: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Trvalé bydlisko: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Štátne občianstvo: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Bankové spojenie: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IBAN: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BIC / SWIFT: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telefonický kontakt: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e-mail: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 manželkou</w:t>
      </w:r>
    </w:p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 a priezv</w:t>
      </w:r>
      <w:r>
        <w:rPr>
          <w:rFonts w:ascii="Times New Roman" w:eastAsia="Times New Roman" w:hAnsi="Times New Roman" w:cs="Times New Roman"/>
          <w:color w:val="00000A"/>
          <w:sz w:val="24"/>
        </w:rPr>
        <w:t>isko: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Rodné priezvisko: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Dátum narodenia: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Rodné číslo: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Trvalé bydlisko: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Štátne občianstvo: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Bankové spojenie: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IBAN: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BIC / SWIFT: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telefonický kontakt: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3875B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e-mail: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…</w:t>
      </w:r>
    </w:p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(ďalej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Kupujúci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(Predávajúci a Kupujúci ďalej spoločne aj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Zmluvné strany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 alebo každý samostatne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Zmluvná strana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</w:p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za nasledovných podmienok:</w:t>
      </w:r>
    </w:p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I.</w:t>
      </w: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Preambula</w:t>
      </w:r>
    </w:p>
    <w:p w:rsidR="00294569" w:rsidRDefault="0029456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A"/>
          <w:sz w:val="24"/>
        </w:rPr>
      </w:pPr>
    </w:p>
    <w:p w:rsidR="00294569" w:rsidRDefault="003875BE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A"/>
          <w:sz w:val="3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Predávajúci je výlučn</w:t>
      </w:r>
      <w:r>
        <w:rPr>
          <w:rFonts w:ascii="Times New Roman" w:eastAsia="Times New Roman" w:hAnsi="Times New Roman" w:cs="Times New Roman"/>
          <w:color w:val="00000A"/>
          <w:sz w:val="24"/>
        </w:rPr>
        <w:t>ým vlastníkom, teda v podiele 1/1 k celku, nasledovných nehnuteľností:</w:t>
      </w:r>
    </w:p>
    <w:p w:rsidR="00294569" w:rsidRDefault="003875BE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rodinný dom so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súp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č. 4476, popis stavby: Rodinný dom I., postavený na pozemku parcely reg. „C“,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č.: 5363/13, o výmere 665 m2, druh pozemku: zastavaná plocha a nádvorie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(ďalej aj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rodinný dom I.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  <w:r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294569" w:rsidRDefault="003875BE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pozemok parcely reg. „C“,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č.: 5363/13, o výmere 665 m2, druh pozemku: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zastavaná plocha a nádvorie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(ďalej aj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pozemok I.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  <w:r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294569" w:rsidRDefault="003875BE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rodinný dom so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súp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č. 4477, popis stavby: Rodinný dom II., postavený na pozemku parcely re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g. „C“,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č.: 5363/5, o výmere 144 m2, druh pozemku: zastavaná plocha a nádvorie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(ďalej aj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rodinný dom II.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  <w:r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294569" w:rsidRDefault="003875BE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pozemok parcely reg. „C“,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č.: 5363/5, o výmere 144 m2, druh pozemku: zastavaná plocha a nádvorie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(ďalej aj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pozemok II.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  <w:r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294569" w:rsidRDefault="003875BE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pozemok parcely reg. „C“,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č.: 5363/10, o výmere 5163 m2, druh pozemku: ostatná plocha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(ďalej aj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pozemok III.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  <w:r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294569" w:rsidRDefault="003875BE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pozemok parcely reg. „C“,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č.: 5334/10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o výmere 3499 m2, druh pozemku: zastavaná plocha a nádvorie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(ďalej aj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pozemok IV.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</w:p>
    <w:p w:rsidR="00294569" w:rsidRDefault="003875BE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nachádzajúce sa v okrese Banská Bystrica, obec Banská Bystrica, katastrálne územie Banská Bystrica, zapísané na LV č. 4666, vedené Okresným úradom Banská Bystric</w:t>
      </w:r>
      <w:r>
        <w:rPr>
          <w:rFonts w:ascii="Times New Roman" w:eastAsia="Times New Roman" w:hAnsi="Times New Roman" w:cs="Times New Roman"/>
          <w:color w:val="00000A"/>
          <w:sz w:val="24"/>
        </w:rPr>
        <w:t>a, katastrálnym odborom.</w:t>
      </w:r>
    </w:p>
    <w:p w:rsidR="00294569" w:rsidRDefault="003875BE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Predávajúci je ďalej výlučným vlastníkom, v podiele 1/1 k celku, majetku bez označenia súpisným číslom, neevidovaný na liste vlastníctva a to konkrétne:</w:t>
      </w:r>
    </w:p>
    <w:p w:rsidR="00294569" w:rsidRDefault="003875BE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Plot okolo areálu a ČOV umiestnený na pozemku III.,</w:t>
      </w:r>
    </w:p>
    <w:p w:rsidR="00294569" w:rsidRDefault="003875BE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Rozvod pitnej vody DN 20 umiestnený na pozemkoch I., II. a III.,</w:t>
      </w:r>
    </w:p>
    <w:p w:rsidR="00294569" w:rsidRDefault="003875BE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Spevnené plochy asfaltové umiestnené na pozemku III.,</w:t>
      </w:r>
    </w:p>
    <w:p w:rsidR="00294569" w:rsidRDefault="003875BE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Plot betónový umiestnený na pozemku III.,</w:t>
      </w:r>
    </w:p>
    <w:p w:rsidR="00294569" w:rsidRDefault="003875BE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Prípojka plynu umiestnená na pozemku I.</w:t>
      </w:r>
    </w:p>
    <w:p w:rsidR="00294569" w:rsidRDefault="003875BE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pričom tento tvorí neoddeliteľnú súčasť predmetu prevod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u ako príslušenstvo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(rodinný dom I. a II., pozemky I. až IV. a príslušenstvo spoločne ďalej len ako „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Nehnuteľnosti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“)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294569" w:rsidRDefault="003875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Nehnuteľnosti, okrem pozemku IV., nadobudol Predávajúci pri svojom vzniku na základe Vyhlásenia V 20080/2009 zo dňa 20.10.2009 (Správa kat</w:t>
      </w:r>
      <w:r>
        <w:rPr>
          <w:rFonts w:ascii="Times New Roman" w:eastAsia="Times New Roman" w:hAnsi="Times New Roman" w:cs="Times New Roman"/>
          <w:color w:val="00000A"/>
          <w:sz w:val="24"/>
        </w:rPr>
        <w:t>astra pre hlavné mesto Slovenskej republiky Bratislavu) - 2266/2009.</w:t>
      </w:r>
    </w:p>
    <w:p w:rsidR="00294569" w:rsidRDefault="003875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Pozemok IV. vznikol odčlenením od pozemku prac. reg. „C“,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č.: 5334/1, o pôvodnej celkovej výmere 21930 m2, druh pozemku: zastavaná plocha a nádvorie, na základe Geometrického plánu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č. 31061591-140/2019 zo dňa 04.11.2019, vyhotoveného geodetom: Ing. Marek ČILLÍK - GEOPLÁN, TR.SNP č. 75, Banská Bystrica, IČO: 31061591, autorizačne overený dňa 05.11.2019, Ing. Jánom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Sabackým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úradne overený ............................., dňa ...........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..…., pod číslom ...........................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(doplní Predávajúci)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294569" w:rsidRDefault="003875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Predávajúci má záujem previesť svoje vlastnícke právo k Nehnuteľnostiam a Kupujúci má záujem Nehnuteľnosti nadobudnúť do svojho vlastníctva a zaplatiť za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ne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kúpnu cenu a to za podmienok doh</w:t>
      </w:r>
      <w:r>
        <w:rPr>
          <w:rFonts w:ascii="Times New Roman" w:eastAsia="Times New Roman" w:hAnsi="Times New Roman" w:cs="Times New Roman"/>
          <w:color w:val="00000A"/>
          <w:sz w:val="24"/>
        </w:rPr>
        <w:t>odnutých v tejto Zmluve.</w:t>
      </w:r>
    </w:p>
    <w:p w:rsidR="00294569" w:rsidRDefault="003875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 týmto účelom uzatvárajú Zmluvné strany túto Zmluvu.</w:t>
      </w:r>
    </w:p>
    <w:p w:rsidR="00294569" w:rsidRDefault="002945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II.</w:t>
      </w: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Predmet Zmluvy</w:t>
      </w:r>
    </w:p>
    <w:p w:rsidR="00294569" w:rsidRDefault="00294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94569" w:rsidRDefault="003875BE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Predmetom tejto Zmluvy je záväzok Predávajúceho previesť vlastnícke právo k Nehnuteľnostiam zo svojho výlučn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ého vlastníctva, v podiele 1/1 k celku, do výlučného / podielového / bezpodielového spoluvlastníctva Kupujúceho, v podiele .........… k celku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(vyplní kupujúci)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294569" w:rsidRDefault="003875BE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Predmetom tejto Zmluvy je aj záväzok Kupujúceho Nehnuteľnosti od Predávajúceho nadobudnúť do sv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ojho výlučného / podielového / bezpodielového spoluvlastníctva, v podiele .........…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(vyplní kupujúci)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k celku a zaplatiť za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ne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Predávajúcemu dohodnutú kúpnu cenu podľa tejto Zmluvy.</w:t>
      </w:r>
    </w:p>
    <w:p w:rsidR="00294569" w:rsidRDefault="002945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III.</w:t>
      </w: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Predmet prevodu</w:t>
      </w:r>
    </w:p>
    <w:p w:rsidR="00294569" w:rsidRDefault="00294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94569" w:rsidRDefault="003875BE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Predmetom prevodu podľa tejto Zmluvy je prevod vla</w:t>
      </w:r>
      <w:r>
        <w:rPr>
          <w:rFonts w:ascii="Times New Roman" w:eastAsia="Times New Roman" w:hAnsi="Times New Roman" w:cs="Times New Roman"/>
          <w:color w:val="00000A"/>
          <w:sz w:val="24"/>
        </w:rPr>
        <w:t>stníckeho práva k Nehnuteľnostiam uvedeným v čl. I. ods. 1 a 2 tejto Zmluvy z Predávajúceho na Kupujúceho.</w:t>
      </w:r>
    </w:p>
    <w:p w:rsidR="00294569" w:rsidRDefault="002945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IV.</w:t>
      </w: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Popis Nehnuteľností</w:t>
      </w:r>
    </w:p>
    <w:p w:rsidR="00294569" w:rsidRDefault="00294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94569" w:rsidRDefault="003875BE">
      <w:pPr>
        <w:widowControl w:val="0"/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Nehnuteľnosti sa v čase podpisu tejto Zmluvy nachádzajú v technickom stave, s akým bol Kupujúci Predávajúcim oboznámený, čo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v zmysle článku </w:t>
      </w:r>
      <w:r>
        <w:rPr>
          <w:rFonts w:ascii="Times New Roman" w:eastAsia="Times New Roman" w:hAnsi="Times New Roman" w:cs="Times New Roman"/>
          <w:color w:val="000000"/>
          <w:sz w:val="24"/>
        </w:rPr>
        <w:t>VI. ods. 9 tejto Zmluvy Kupujúci vyhlasuje a potvrdzuj</w:t>
      </w:r>
      <w:r>
        <w:rPr>
          <w:rFonts w:ascii="Times New Roman" w:eastAsia="Times New Roman" w:hAnsi="Times New Roman" w:cs="Times New Roman"/>
          <w:color w:val="00000A"/>
          <w:sz w:val="24"/>
        </w:rPr>
        <w:t>e.</w:t>
      </w:r>
    </w:p>
    <w:p w:rsidR="00294569" w:rsidRDefault="002945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V.</w:t>
      </w: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Kúpna cena</w:t>
      </w:r>
    </w:p>
    <w:p w:rsidR="00294569" w:rsidRDefault="00294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94569" w:rsidRDefault="003875BE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Dohodnutá kúpna cena bola Zmluvnými stranami stanovená na sumu ....……....…...… ,- EUR (slovom: .........………… euro)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(doplní kupujúci) </w:t>
      </w:r>
      <w:r>
        <w:rPr>
          <w:rFonts w:ascii="Times New Roman" w:eastAsia="Times New Roman" w:hAnsi="Times New Roman" w:cs="Times New Roman"/>
          <w:color w:val="00000A"/>
          <w:sz w:val="24"/>
        </w:rPr>
        <w:t>za Nehnuteľnosti ako celok.</w:t>
      </w:r>
    </w:p>
    <w:p w:rsidR="00294569" w:rsidRDefault="003875BE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Kúpna cena je tvorená z dvoch častí:</w:t>
      </w:r>
    </w:p>
    <w:p w:rsidR="00294569" w:rsidRDefault="003875BE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suma .……………… ,- EUR (slovom: .........…… euro)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(doplní kup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ujúci) </w:t>
      </w:r>
      <w:r>
        <w:rPr>
          <w:rFonts w:ascii="Times New Roman" w:eastAsia="Times New Roman" w:hAnsi="Times New Roman" w:cs="Times New Roman"/>
          <w:color w:val="00000A"/>
          <w:sz w:val="24"/>
        </w:rPr>
        <w:t>predstavujúca kúpnu cenu za pozemky I. až IV.</w:t>
      </w:r>
    </w:p>
    <w:p w:rsidR="00294569" w:rsidRDefault="003875BE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suma .……………… ,- EUR (slovom: .........…… euro)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(doplní kupujúci) </w:t>
      </w:r>
      <w:r>
        <w:rPr>
          <w:rFonts w:ascii="Times New Roman" w:eastAsia="Times New Roman" w:hAnsi="Times New Roman" w:cs="Times New Roman"/>
          <w:color w:val="00000A"/>
          <w:sz w:val="24"/>
        </w:rPr>
        <w:t>predstavujúca kúpnu cenu za rodinný dom I. a II. a príslušenstvo.</w:t>
      </w:r>
    </w:p>
    <w:p w:rsidR="00294569" w:rsidRDefault="003875BE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Zmluvné strany sa dohodli na splatení celej kúpnej ceny nasledovne:</w:t>
      </w:r>
    </w:p>
    <w:p w:rsidR="00294569" w:rsidRDefault="003875BE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prvá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časť kúpnej ceny vo výške 5.000,- EUR (slovom: päťtisíc euro) bola Kupujúcim uhradená dňa ..........….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(doplní kupujúci)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formou bezhotovostného prevodu na bankový účet Predávajúceho, čo obe Zmluvné strany potvrdzujú podpisom tejto Zmluvy,</w:t>
      </w:r>
    </w:p>
    <w:p w:rsidR="00294569" w:rsidRDefault="003875BE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druhá časť kúpne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j ceny vo výške ....……....…...… ,- EUR (slovom: .........………… euro)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(doplní kupujúci)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bude Kupujúcim uhradená v jednej splátke, formou bezhotovostného prevodu na bankový účet Predávajúceho uvedený v záhlaví tejto Zmluvy v lehote do 15 pracovných dní odo dň</w:t>
      </w:r>
      <w:r>
        <w:rPr>
          <w:rFonts w:ascii="Times New Roman" w:eastAsia="Times New Roman" w:hAnsi="Times New Roman" w:cs="Times New Roman"/>
          <w:color w:val="00000A"/>
          <w:sz w:val="24"/>
        </w:rPr>
        <w:t>a podpisu tejto Zmluvy oboma Zmluvnými stranami,</w:t>
      </w:r>
    </w:p>
    <w:p w:rsidR="00294569" w:rsidRDefault="003875BE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alebo, v prípade financovania prostredníctvom úveru od bankovej inštitúcie oprávnenej na poskytovanie úverov na území Slovenskej republiky, podľa podmienok príslušnej bankovej inštitúcie poskytujúcej úver Ku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pujúcemu, avšak najneskôr do 45 dní odo dňa podpisu tejto Zmluvy oboma Zmluvnými stranami a pred dňom podania návrhu na vklad vlastníckeho práva k Nehnuteľnostiam v prospech Kupujúceho do katastra nehnuteľností – (doplní kupujúci).</w:t>
      </w:r>
    </w:p>
    <w:p w:rsidR="00294569" w:rsidRDefault="003875BE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Kúpna cena sa považuje z</w:t>
      </w:r>
      <w:r>
        <w:rPr>
          <w:rFonts w:ascii="Times New Roman" w:eastAsia="Times New Roman" w:hAnsi="Times New Roman" w:cs="Times New Roman"/>
          <w:color w:val="00000A"/>
          <w:sz w:val="24"/>
        </w:rPr>
        <w:t>a uhradenú dňom jej pripísania v plnej výške na bankový účet Predávajúceho.</w:t>
      </w:r>
    </w:p>
    <w:p w:rsidR="00294569" w:rsidRDefault="003875BE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V prípade neuhradenia celej kúpnej ceny v zmysle tohto článku tejto Zmluvy zo strany Kupujúceho je Predávajúci oprávnený od tejto Zmluvy odstúpiť. Nárok Predávajúceho na náhradu šk</w:t>
      </w:r>
      <w:r>
        <w:rPr>
          <w:rFonts w:ascii="Times New Roman" w:eastAsia="Times New Roman" w:hAnsi="Times New Roman" w:cs="Times New Roman"/>
          <w:color w:val="00000A"/>
          <w:sz w:val="24"/>
        </w:rPr>
        <w:t>ody tým nie je dotknutý.</w:t>
      </w:r>
    </w:p>
    <w:p w:rsidR="00294569" w:rsidRDefault="002945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A0010" w:rsidRDefault="009A0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A0010" w:rsidRDefault="009A0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A0010" w:rsidRDefault="009A0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A0010" w:rsidRDefault="009A0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VI.</w:t>
      </w: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Vyhlásenia Predávajúceho a Kupujúceho</w:t>
      </w:r>
    </w:p>
    <w:p w:rsidR="00294569" w:rsidRDefault="00294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94569" w:rsidRDefault="003875BE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Predávajúci vyhlasuje, že je výlučným vlastníkom Nehnuteľností, rovnako vyhlasuje, že na Nehnuteľnostiach neviaznu žiadne dlhy, záložné práva a vecné bremená a nie sú mu známe ani iné prá</w:t>
      </w:r>
      <w:r>
        <w:rPr>
          <w:rFonts w:ascii="Times New Roman" w:eastAsia="Times New Roman" w:hAnsi="Times New Roman" w:cs="Times New Roman"/>
          <w:color w:val="00000A"/>
          <w:sz w:val="24"/>
        </w:rPr>
        <w:t>va v prospech tretích osôb, ktoré by obmedzovali dispozičné právo Predávajúceho k Nehnuteľnostiam a tieto sú spôsobilé na riadne užívanie za účelom ich podstaty.</w:t>
      </w:r>
    </w:p>
    <w:p w:rsidR="00294569" w:rsidRDefault="003875BE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Predávajúci vyhlasuje, že jeho vlastnícke právo k prevádzaným Nehnuteľnostiam nie je obmedzené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žiadnym zmluvným vzťahom alebo písomnou či ústnou dohodou s treťou osobou, ktorá by mohla ovplyvniť výkon vlastníckych práv Predávajúceho k Nehnuteľnostiam, ich budúcu držbu a užívanie alebo prevod vlastníckeho práva k prevádzaným Nehnuteľnostiam, alebo b</w:t>
      </w:r>
      <w:r>
        <w:rPr>
          <w:rFonts w:ascii="Times New Roman" w:eastAsia="Times New Roman" w:hAnsi="Times New Roman" w:cs="Times New Roman"/>
          <w:color w:val="00000A"/>
          <w:sz w:val="24"/>
        </w:rPr>
        <w:t>y mohla inak nepriaznivo ovplyvniť (znemožniť, spomaliť, skomplikovať a pod.) realizáciu prevodu vlastníckeho práva v zmysle tejto Zmluvy v prospech Kupujúceho.</w:t>
      </w:r>
    </w:p>
    <w:p w:rsidR="00294569" w:rsidRDefault="003875BE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Predávajúci vyhlasuje, že mu nie sú známe žiadne vady a nedostatky Nehnuteľností, na ktoré by m</w:t>
      </w:r>
      <w:r>
        <w:rPr>
          <w:rFonts w:ascii="Times New Roman" w:eastAsia="Times New Roman" w:hAnsi="Times New Roman" w:cs="Times New Roman"/>
          <w:color w:val="00000A"/>
          <w:sz w:val="24"/>
        </w:rPr>
        <w:t>al Kupujúceho osobitne upozorniť.</w:t>
      </w:r>
    </w:p>
    <w:p w:rsidR="00294569" w:rsidRDefault="003875BE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Predávajúci je ďalej vlastníkom majetku bez prideleného súpisného čísla, neevidovaného na liste vlastníctva, ktorý nie je predmetom prevodu pod</w:t>
      </w:r>
      <w:r>
        <w:rPr>
          <w:rFonts w:ascii="Times New Roman" w:eastAsia="Times New Roman" w:hAnsi="Times New Roman" w:cs="Times New Roman"/>
          <w:color w:val="00000A"/>
          <w:sz w:val="24"/>
        </w:rPr>
        <w:t>ľa tejto Zmluvy a tento ostane naďalej vo výlučnom vlastníctve Predávajúceho a to konkrétne:</w:t>
      </w:r>
    </w:p>
    <w:p w:rsidR="00294569" w:rsidRDefault="003875BE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kanalizačná prípojka umiestnená na pozemku parcely reg. „C“,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č.: 5334/1,</w:t>
      </w:r>
    </w:p>
    <w:p w:rsidR="00294569" w:rsidRDefault="003875BE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rozvod elektriny umiestnený na pozemku parcely reg. „C“,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</w:rPr>
        <w:t>č.: 5363/10,</w:t>
      </w:r>
    </w:p>
    <w:p w:rsidR="00294569" w:rsidRDefault="003875BE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transformátor umiestnený na pozemku parcely reg. „C“,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č.: 5363/10.</w:t>
      </w:r>
    </w:p>
    <w:p w:rsidR="00294569" w:rsidRDefault="003875BE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 plnohodnotné užívanie Nehnuteľností bude Kupujúci oprávnený tento majetok využívať spoločne s Predávajúcim po predchádzajúcej vzájomnej dohode s Predávajúcim. Kupujúc</w:t>
      </w:r>
      <w:r>
        <w:rPr>
          <w:rFonts w:ascii="Times New Roman" w:eastAsia="Times New Roman" w:hAnsi="Times New Roman" w:cs="Times New Roman"/>
          <w:color w:val="00000A"/>
          <w:sz w:val="24"/>
        </w:rPr>
        <w:t>i sa zároveň zaväzuje poskytnúť Predávajúcemu všetku súčinnosť potrebnú pre udržiavanie uvedeného majetku vo funkčnom a použiteľnom stave a rovnako v stave zodpovedajúcom príslušným zákon platným v Slovenskej republike.</w:t>
      </w:r>
    </w:p>
    <w:p w:rsidR="00294569" w:rsidRDefault="003875BE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Predávajúci je povinný zabrániť vzni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ku akýchkoľvek práv v prospech tretích osôb k prevádzaným Nehnuteľnostiam odo dňa podpisu tejto Zmluvy </w:t>
      </w:r>
      <w:r>
        <w:rPr>
          <w:rFonts w:ascii="Times New Roman" w:eastAsia="Times New Roman" w:hAnsi="Times New Roman" w:cs="Times New Roman"/>
          <w:color w:val="000000"/>
          <w:sz w:val="24"/>
        </w:rPr>
        <w:t>do doby opísanej v článku VII. ods. 1 tejto Zmluvy tak, aby zostali primerane zachované sku</w:t>
      </w:r>
      <w:r>
        <w:rPr>
          <w:rFonts w:ascii="Times New Roman" w:eastAsia="Times New Roman" w:hAnsi="Times New Roman" w:cs="Times New Roman"/>
          <w:color w:val="00000A"/>
          <w:sz w:val="24"/>
        </w:rPr>
        <w:t>točnosti opísané v odseku 1. a 2. tohto článku tejto Zmluvy.</w:t>
      </w:r>
    </w:p>
    <w:p w:rsidR="00294569" w:rsidRDefault="003875BE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</w:rPr>
        <w:t>ehnuteľnosti nie sú v súčasnej dobe predmetom súdneho sporu, alebo iného konania, ktoré by mohlo viesť k spochybneniu vlastníckeho práva Predávajúceho k týmto Nehnuteľnostiam.</w:t>
      </w:r>
    </w:p>
    <w:p w:rsidR="00294569" w:rsidRDefault="003875BE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Na prevádzaných Nehnuteľnostiach neviaznu žiadne dlhy z titulu nezaplatených pla</w:t>
      </w:r>
      <w:r>
        <w:rPr>
          <w:rFonts w:ascii="Times New Roman" w:eastAsia="Times New Roman" w:hAnsi="Times New Roman" w:cs="Times New Roman"/>
          <w:color w:val="00000A"/>
          <w:sz w:val="24"/>
        </w:rPr>
        <w:t>tieb, ktoré je Predávajúci povinný platiť príslušným organizáciám (spoločnostiam za odber plynu, elektrickej energie atď.) a žiadne iné dlhy alebo nedoplatky. Všetky prípadné dlhy alebo nedoplatky vzniknuté pred dňom odovzdania a prevzatia Nehnuteľ</w:t>
      </w:r>
      <w:r>
        <w:rPr>
          <w:rFonts w:ascii="Times New Roman" w:eastAsia="Times New Roman" w:hAnsi="Times New Roman" w:cs="Times New Roman"/>
          <w:color w:val="000000"/>
          <w:sz w:val="24"/>
        </w:rPr>
        <w:t>ností po</w:t>
      </w:r>
      <w:r>
        <w:rPr>
          <w:rFonts w:ascii="Times New Roman" w:eastAsia="Times New Roman" w:hAnsi="Times New Roman" w:cs="Times New Roman"/>
          <w:color w:val="000000"/>
          <w:sz w:val="24"/>
        </w:rPr>
        <w:t>dľa článku VII. tejto Zmluvy je Predávajúci povinný uhradiť v lehote podľa článku VII. ods. 1. tejto Z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mluvy a v prípade nesplnenia si tejto povinnosti tieto neprechádzajú na Kupujúceho, a tento za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ne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nezodpovedá.</w:t>
      </w:r>
    </w:p>
    <w:p w:rsidR="00294569" w:rsidRDefault="003875BE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V prípade, že sa ukáže niektoré z vyhlásení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uvedených vyššie v tomto článku tejto Zmluvy alebo iné vyhlásenie Predávajúceho uvedené v tejto Zmluve čo i len čiastočne ako nepravdivé, je Kupujúci oprávnený od tejto Zmluvy odstúpiť.</w:t>
      </w:r>
    </w:p>
    <w:p w:rsidR="00294569" w:rsidRDefault="003875BE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Kupujúci sa zaväzuje uhradiť kúpnu cenu uvede</w:t>
      </w:r>
      <w:r>
        <w:rPr>
          <w:rFonts w:ascii="Times New Roman" w:eastAsia="Times New Roman" w:hAnsi="Times New Roman" w:cs="Times New Roman"/>
          <w:color w:val="000000"/>
          <w:sz w:val="24"/>
        </w:rPr>
        <w:t>nú v článku V. ods. 1. t</w:t>
      </w:r>
      <w:r>
        <w:rPr>
          <w:rFonts w:ascii="Times New Roman" w:eastAsia="Times New Roman" w:hAnsi="Times New Roman" w:cs="Times New Roman"/>
          <w:color w:val="000000"/>
          <w:sz w:val="24"/>
        </w:rPr>
        <w:t>ejto Zmluvy spôsobom a za podmienok uvedených v článku V. ods. 2. tejto Zmlu</w:t>
      </w:r>
      <w:r>
        <w:rPr>
          <w:rFonts w:ascii="Times New Roman" w:eastAsia="Times New Roman" w:hAnsi="Times New Roman" w:cs="Times New Roman"/>
          <w:color w:val="00000A"/>
          <w:sz w:val="24"/>
        </w:rPr>
        <w:t>vy.</w:t>
      </w:r>
    </w:p>
    <w:p w:rsidR="00294569" w:rsidRDefault="003875BE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Kupujúci vyhlasuje, že sa s Nehnuteľnosťami oboznámil podľa aktuálneho listu vlastníctva a osobnou prehliadkou a v takomto stave ich kupuje do svojho výlučného /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podielového /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bezpodielového spoluvlastníctva, v podiele .........…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(vyplní kupujúci)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294569" w:rsidRDefault="002945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VII.</w:t>
      </w: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Odovzdanie a prevzatie Nehnuteľností</w:t>
      </w:r>
    </w:p>
    <w:p w:rsidR="00294569" w:rsidRDefault="00294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94569" w:rsidRDefault="003875BE">
      <w:pPr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Zmluvné strany sa dohodli, že Predávajúci uvoľní a vyprace Nehnuteľnosti v lehote do 30 dní odo dňa nadobudnutia pr</w:t>
      </w:r>
      <w:r>
        <w:rPr>
          <w:rFonts w:ascii="Times New Roman" w:eastAsia="Times New Roman" w:hAnsi="Times New Roman" w:cs="Times New Roman"/>
          <w:color w:val="00000A"/>
          <w:sz w:val="24"/>
        </w:rPr>
        <w:t>ávoplatnosti rozhodnutia príslušného Okresného úradu, katastrálneho odboru o povolení vkladu vlastníckeho práva k Nehnuteľnostiam do katastra nehnuteľností v prospech Kupujúceho.</w:t>
      </w:r>
    </w:p>
    <w:p w:rsidR="00294569" w:rsidRDefault="003875BE">
      <w:pPr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Spoločne s Nehnuteľnosťami odovzdá Predávajúci Kupujúcemu aj všetky vyhotoven</w:t>
      </w:r>
      <w:r>
        <w:rPr>
          <w:rFonts w:ascii="Times New Roman" w:eastAsia="Times New Roman" w:hAnsi="Times New Roman" w:cs="Times New Roman"/>
          <w:color w:val="00000A"/>
          <w:sz w:val="24"/>
        </w:rPr>
        <w:t>ia kľúčov od rodinného domu I. a rodinného domu II. a tiež všetku dokumentáciu prislúchajúcu k Nehnuteľnostiam.</w:t>
      </w:r>
    </w:p>
    <w:p w:rsidR="00294569" w:rsidRDefault="003875BE">
      <w:pPr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Predávajúci zabezpečí jeho odhlásenie u dodávateľov energie (najm</w:t>
      </w:r>
      <w:r>
        <w:rPr>
          <w:rFonts w:ascii="Times New Roman" w:eastAsia="Times New Roman" w:hAnsi="Times New Roman" w:cs="Times New Roman"/>
          <w:color w:val="00000A"/>
          <w:sz w:val="24"/>
        </w:rPr>
        <w:t>ä plyn, voda) a médií (najmä televízia, internet, telefón a pod.) a to ku dňu odovzdania a prevzatia Nehnuteľností.</w:t>
      </w:r>
    </w:p>
    <w:p w:rsidR="00294569" w:rsidRDefault="003875BE">
      <w:pPr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 odovzdaní a prevzatí Nehnuteľností Zmluvné strany spíšu preberací protokol v 2 vyhotoveniach a každá Zmluvná strana si ponechá jedno vyhot</w:t>
      </w:r>
      <w:r>
        <w:rPr>
          <w:rFonts w:ascii="Times New Roman" w:eastAsia="Times New Roman" w:hAnsi="Times New Roman" w:cs="Times New Roman"/>
          <w:color w:val="00000A"/>
          <w:sz w:val="24"/>
        </w:rPr>
        <w:t>ovenie. V preberacom protokole budú uvedené stavy meračov energií ku dňu prevzatia Nehnuteľností Kupujúcim a tiež tam budú uvedené všetky dokumenty odovzdávané spolu s Nehnuteľnosťami a rovnako počet kľúčov odovzdávaných spolu s Nehnuteľnosťami.</w:t>
      </w:r>
    </w:p>
    <w:p w:rsidR="00294569" w:rsidRDefault="002945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VIII.</w:t>
      </w: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Nad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obudnutie vlastníckeho práva Kupujúcim a návrh na vklad, prechod nebezpečenstva škody na Nehnuteľnostiach</w:t>
      </w:r>
    </w:p>
    <w:p w:rsidR="00294569" w:rsidRDefault="0029456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Vlastnícke právo k Nehnuteľnostiam nadobudne Kupujúci dňom nadobudnutia právoplatnosti rozhodnutia príslušného Okresného úradu, katastrálneho odboru </w:t>
      </w:r>
      <w:r>
        <w:rPr>
          <w:rFonts w:ascii="Times New Roman" w:eastAsia="Times New Roman" w:hAnsi="Times New Roman" w:cs="Times New Roman"/>
          <w:color w:val="00000A"/>
          <w:sz w:val="24"/>
        </w:rPr>
        <w:t>o povolení vkladu vlastníckeho práva k Nehnuteľnostiam do katastra nehnuteľností v prospech Kupujúceho.</w:t>
      </w:r>
    </w:p>
    <w:p w:rsidR="00294569" w:rsidRDefault="003875BE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Návrh na vklad vlastníckeho práva k Nehnuteľnostiam do katastra nehnuteľností v prospech Kupujúceho podpíšu Zmluvné strany pri podpise tejto Zmluvy obom</w:t>
      </w:r>
      <w:r>
        <w:rPr>
          <w:rFonts w:ascii="Times New Roman" w:eastAsia="Times New Roman" w:hAnsi="Times New Roman" w:cs="Times New Roman"/>
          <w:color w:val="00000A"/>
          <w:sz w:val="24"/>
        </w:rPr>
        <w:t>a Zmluvnými stranami. Návrh na vklad vlastníckeho práva do katastra nehnuteľností podá na základe dohody Zmluvných strán v lehote do 5 pracovných dní odo dňa zaplatenia kúpnej ceny v celom rozsahu Predávajúci, na čo ho Kupujúci týmto výslovne splnomocňuje.</w:t>
      </w:r>
    </w:p>
    <w:p w:rsidR="00294569" w:rsidRDefault="003875BE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Na základe dohody Zmluvných strán bude poplatok za návrh na vklad vlastníckeho práva do katastra nehnuteľností uhradený Kupujúcim v hotovosti k rukám Predávajúceho pri podpise tejto Zmluvy.</w:t>
      </w:r>
    </w:p>
    <w:p w:rsidR="00294569" w:rsidRDefault="003875BE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V prípade, ak príslušný Okresný úrad, katastrálny odbor z akýchko</w:t>
      </w:r>
      <w:r>
        <w:rPr>
          <w:rFonts w:ascii="Times New Roman" w:eastAsia="Times New Roman" w:hAnsi="Times New Roman" w:cs="Times New Roman"/>
          <w:color w:val="00000A"/>
          <w:sz w:val="24"/>
        </w:rPr>
        <w:t>ľvek dôvodov zamietne návrh na vklad vlastníckeho práva k Nehnuteľnostiam v prospech Kupujúceho alebo ak konanie o povolení vkladu zastaví alebo preruší, sú Zmluvné strany povinné poskytnúť si vzájomnú súčinnosť a podniknúť všetky kroky potrebné k tomu, ab</w:t>
      </w:r>
      <w:r>
        <w:rPr>
          <w:rFonts w:ascii="Times New Roman" w:eastAsia="Times New Roman" w:hAnsi="Times New Roman" w:cs="Times New Roman"/>
          <w:color w:val="00000A"/>
          <w:sz w:val="24"/>
        </w:rPr>
        <w:t>y bol návrh na vklad vlastníckeho práva k Nehnuteľnostiam v prospech Kupujúceho opravený, prípadne opätovne podaný a povolený, resp. aby sa v katastrálnom konaní čo najrýchlejšie pokračovalo.</w:t>
      </w:r>
    </w:p>
    <w:p w:rsidR="00294569" w:rsidRDefault="003875BE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Ak povolenie vkladu vlastníckeho práva príslušným Okresným úrado</w:t>
      </w:r>
      <w:r>
        <w:rPr>
          <w:rFonts w:ascii="Times New Roman" w:eastAsia="Times New Roman" w:hAnsi="Times New Roman" w:cs="Times New Roman"/>
          <w:color w:val="00000A"/>
          <w:sz w:val="24"/>
        </w:rPr>
        <w:t>m, katastrálnym odborom k Nehnuteľnostiam v prospech Kupujúceho nebude možné dosiahnuť ani do 12 mesiacov odo dňa podpisu tejto Zmluvy, je ktorákoľvek zo Zmluvných strán oprávnená od tejto zmluvy písomne odstúpiť so všetkými právnymi dôsledkami z toho vypl</w:t>
      </w:r>
      <w:r>
        <w:rPr>
          <w:rFonts w:ascii="Times New Roman" w:eastAsia="Times New Roman" w:hAnsi="Times New Roman" w:cs="Times New Roman"/>
          <w:color w:val="00000A"/>
          <w:sz w:val="24"/>
        </w:rPr>
        <w:t>ývajúcimi vrátane vrátenia celej kúpnej ceny.</w:t>
      </w:r>
    </w:p>
    <w:p w:rsidR="00294569" w:rsidRDefault="003875BE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Nebezpečenstvo škody na Nehnuteľnostiach prechádza na Kupujúceho momentom podpisu preberacieho protokolu podľa ustanove</w:t>
      </w:r>
      <w:r>
        <w:rPr>
          <w:rFonts w:ascii="Times New Roman" w:eastAsia="Times New Roman" w:hAnsi="Times New Roman" w:cs="Times New Roman"/>
          <w:color w:val="000000"/>
          <w:sz w:val="24"/>
        </w:rPr>
        <w:t>nia článku VII. ods. 1 tejto Zml</w:t>
      </w:r>
      <w:r>
        <w:rPr>
          <w:rFonts w:ascii="Times New Roman" w:eastAsia="Times New Roman" w:hAnsi="Times New Roman" w:cs="Times New Roman"/>
          <w:color w:val="00000A"/>
          <w:sz w:val="24"/>
        </w:rPr>
        <w:t>uvy. Ak dôjde k poškodeniu Nehnuteľností po podpise tejto Z</w:t>
      </w:r>
      <w:r>
        <w:rPr>
          <w:rFonts w:ascii="Times New Roman" w:eastAsia="Times New Roman" w:hAnsi="Times New Roman" w:cs="Times New Roman"/>
          <w:color w:val="00000A"/>
          <w:sz w:val="24"/>
        </w:rPr>
        <w:t>mluvy ale pred ich odovzdaním Kupujúcemu, Kupujúci je oprávnený žiadať od Predávajúceho odstránenie poškodenia na náklady Predávajúceho, prípadne je oprávnený od tejto zmluvy písomne odstúpiť, ak Predávajúci odmietne vykonať nápravu a neodstráni škody v zá</w:t>
      </w:r>
      <w:r>
        <w:rPr>
          <w:rFonts w:ascii="Times New Roman" w:eastAsia="Times New Roman" w:hAnsi="Times New Roman" w:cs="Times New Roman"/>
          <w:color w:val="00000A"/>
          <w:sz w:val="24"/>
        </w:rPr>
        <w:t>konných, inak 15-dňových lehotách a za zákonných, resp. dohodnutých podmienok.</w:t>
      </w:r>
    </w:p>
    <w:p w:rsidR="00294569" w:rsidRDefault="002945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IX.</w:t>
      </w: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Odstúpenie od Zmluvy</w:t>
      </w:r>
    </w:p>
    <w:p w:rsidR="00294569" w:rsidRDefault="00294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94569" w:rsidRDefault="003875BE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Zmluvné strany môžu od tejto Zmluvy odstúpiť iba z d</w:t>
      </w:r>
      <w:r>
        <w:rPr>
          <w:rFonts w:ascii="Times New Roman" w:eastAsia="Times New Roman" w:hAnsi="Times New Roman" w:cs="Times New Roman"/>
          <w:color w:val="00000A"/>
          <w:sz w:val="24"/>
        </w:rPr>
        <w:t>ôvodov ustanovených touto Zmluvou alebo zo zákonných dôvodov.</w:t>
      </w:r>
    </w:p>
    <w:p w:rsidR="00294569" w:rsidRDefault="003875BE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Odstúpenie od Zmluvy ktoroukoľvek zmluvnou stranou musí byť písomné a zaslané doporučene na adresu druhej Zmluvnej strany uvedenú v záhlaví tejto Zmluvy. V odstúpení musí byť uvedený dôvod odstú</w:t>
      </w:r>
      <w:r>
        <w:rPr>
          <w:rFonts w:ascii="Times New Roman" w:eastAsia="Times New Roman" w:hAnsi="Times New Roman" w:cs="Times New Roman"/>
          <w:color w:val="00000A"/>
          <w:sz w:val="24"/>
        </w:rPr>
        <w:t>penia. V prípade pochybností platí, že odstúpenie bolo doručené druhej  zmluvnej strane na tretí deň po odovzdaní na poštovú prepravu.</w:t>
      </w:r>
    </w:p>
    <w:p w:rsidR="00294569" w:rsidRDefault="003875BE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V prípade, ak dôjde k odstúpeniu od tejto Zmluvy z dôvodov dohodnutých v tejto Zmluve, Zmluvné strany sú povinné do 5 pra</w:t>
      </w:r>
      <w:r>
        <w:rPr>
          <w:rFonts w:ascii="Times New Roman" w:eastAsia="Times New Roman" w:hAnsi="Times New Roman" w:cs="Times New Roman"/>
          <w:color w:val="00000A"/>
          <w:sz w:val="24"/>
        </w:rPr>
        <w:t>covných dní odo dňa doručenia písomného odstúpenia od Zmluvy druhej Zmluvnej strane vrátiť si vzájomne poskytnuté plnenia podľa tejto Zmluvy.</w:t>
      </w:r>
    </w:p>
    <w:p w:rsidR="00294569" w:rsidRDefault="003875BE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 odstúpení od tejto Zmluvy jednou Zmluvnou stranou, nie je dotknutý nárok druhej, neodstupujúcej, Zmluvnej stra</w:t>
      </w:r>
      <w:r>
        <w:rPr>
          <w:rFonts w:ascii="Times New Roman" w:eastAsia="Times New Roman" w:hAnsi="Times New Roman" w:cs="Times New Roman"/>
          <w:color w:val="00000A"/>
          <w:sz w:val="24"/>
        </w:rPr>
        <w:t>ny na náhradu škody a to v plnej výške.</w:t>
      </w:r>
    </w:p>
    <w:p w:rsidR="00294569" w:rsidRDefault="002945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X.</w:t>
      </w:r>
    </w:p>
    <w:p w:rsidR="00294569" w:rsidRDefault="003875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Záverečné ustanovenia</w:t>
      </w:r>
    </w:p>
    <w:p w:rsidR="00294569" w:rsidRDefault="0029456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p w:rsidR="00294569" w:rsidRDefault="003875BE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Zmluvné vzťahy touto Zmluvou neupravené sa riadia predovšetkým príslušnými ustanoveniami zákona č. 40/1964 Zb. Občiansky zákonník, ako aj ostatnými právnymi predpismi platnými na území Slov</w:t>
      </w:r>
      <w:r>
        <w:rPr>
          <w:rFonts w:ascii="Times New Roman" w:eastAsia="Times New Roman" w:hAnsi="Times New Roman" w:cs="Times New Roman"/>
          <w:color w:val="00000A"/>
          <w:sz w:val="24"/>
        </w:rPr>
        <w:t>enskej republiky.</w:t>
      </w:r>
    </w:p>
    <w:p w:rsidR="00294569" w:rsidRDefault="003875BE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Ak sa niektorá časť tejto Zmluvy stane neplatnou, nerobí táto skutočnosť neplatnou celú Zmluvu. Zmluvné strany sa dohodli, že v takomto prípade vynaložia maximálne úsilie na konvalidáciu neplatnej časti Zmluvy.</w:t>
      </w:r>
    </w:p>
    <w:p w:rsidR="00294569" w:rsidRDefault="003875BE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Akéko</w:t>
      </w:r>
      <w:r>
        <w:rPr>
          <w:rFonts w:ascii="Times New Roman" w:eastAsia="Times New Roman" w:hAnsi="Times New Roman" w:cs="Times New Roman"/>
          <w:color w:val="00000A"/>
          <w:sz w:val="24"/>
        </w:rPr>
        <w:t>ľvek zmeny a doplnky tejto Zmluvy je možné vykonať iba po vzájomnej dohode Zmluvných strán a to formou písomných a očíslovaných dodatkov k tejto Zmluve odsúhlasených a podpísaných oboma Zmluvnými stranami.</w:t>
      </w:r>
    </w:p>
    <w:p w:rsidR="00294569" w:rsidRDefault="003875BE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Táto Zmluva nadobúda platnosť dňom jej podpisu obo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ma Zmluvnými stranami, účinnosť dňom nasledujúcim po dni jej zverejnenia v Centrálnom registri zmlúv Slovenskej republiky 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vecnoprávne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účinky nadobúda dňom právoplatnosti rozhodnutia príslušného Okresného úradu, katastrálneho odboru o povolení vkladu vlas</w:t>
      </w:r>
      <w:r>
        <w:rPr>
          <w:rFonts w:ascii="Times New Roman" w:eastAsia="Times New Roman" w:hAnsi="Times New Roman" w:cs="Times New Roman"/>
          <w:color w:val="00000A"/>
          <w:sz w:val="24"/>
        </w:rPr>
        <w:t>tníckeho práva k Nehnuteľnostiam v prospech Kupujúceho.</w:t>
      </w:r>
    </w:p>
    <w:p w:rsidR="00294569" w:rsidRDefault="003875BE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Neoddeliteľnou súčasťou tejto Zmluvy sú jej prílohy:</w:t>
      </w:r>
    </w:p>
    <w:p w:rsidR="00294569" w:rsidRDefault="003875BE">
      <w:pPr>
        <w:widowControl w:val="0"/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výpis z obchodného registra za Predávajúceho,</w:t>
      </w:r>
    </w:p>
    <w:p w:rsidR="00294569" w:rsidRDefault="003875BE">
      <w:pPr>
        <w:widowControl w:val="0"/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výpis z obchodného registra za Kupujúceho – v prípade kupujúceho – právnickej osoby (vyplní kupujúci)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,</w:t>
      </w:r>
    </w:p>
    <w:p w:rsidR="00294569" w:rsidRDefault="003875BE">
      <w:pPr>
        <w:widowControl w:val="0"/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Čestné vyhlásenie Kupujúceho v zmysle ustanovenia § 196a zákona č. 513/1991 Zb. Obchodný zákonník v platnom znení.</w:t>
      </w:r>
    </w:p>
    <w:p w:rsidR="00294569" w:rsidRDefault="003875BE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Táto Zmluva je vyhotovená v počte 4 (slovom štyroch) rovnopisov, pričom každá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Zmluvná strana dostane po 1 (slovom jednom) rovnopise a 2 (sl</w:t>
      </w:r>
      <w:r>
        <w:rPr>
          <w:rFonts w:ascii="Times New Roman" w:eastAsia="Times New Roman" w:hAnsi="Times New Roman" w:cs="Times New Roman"/>
          <w:color w:val="00000A"/>
          <w:sz w:val="24"/>
        </w:rPr>
        <w:t>ovom dva) rovnopisy sú určené pre príslušný Okresný úrad, katastrálny odbor.</w:t>
      </w:r>
    </w:p>
    <w:p w:rsidR="00294569" w:rsidRDefault="003875BE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Zmluvné strany vyhlasujú, že s</w:t>
      </w:r>
      <w:r>
        <w:rPr>
          <w:rFonts w:ascii="Times New Roman" w:eastAsia="Times New Roman" w:hAnsi="Times New Roman" w:cs="Times New Roman"/>
          <w:color w:val="00000A"/>
          <w:sz w:val="24"/>
        </w:rPr>
        <w:t>ú spôsobilé na právne úkony, so zmluvou sa oboznámili, s jej obsahom súhlasia a na dôkaz svojej slobodnej a vážnej vôle pripájajú svoje podpisy.</w:t>
      </w:r>
    </w:p>
    <w:p w:rsidR="00294569" w:rsidRDefault="00294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294569" w:rsidRDefault="00294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9A0010" w:rsidRDefault="009A0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9A0010" w:rsidRDefault="009A0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9A0010" w:rsidRDefault="009A0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9A0010" w:rsidRDefault="009A0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9A0010" w:rsidRDefault="009A0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bookmarkStart w:id="0" w:name="_GoBack"/>
      <w:bookmarkEnd w:id="0"/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1826"/>
        <w:gridCol w:w="3532"/>
      </w:tblGrid>
      <w:tr w:rsidR="002945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3875BE">
            <w:pPr>
              <w:widowControl w:val="0"/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V Bratislave, dňa ………………..</w:t>
            </w:r>
          </w:p>
        </w:tc>
        <w:tc>
          <w:tcPr>
            <w:tcW w:w="1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3875BE">
            <w:pPr>
              <w:widowControl w:val="0"/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V …………………., dňa ………….</w:t>
            </w:r>
          </w:p>
        </w:tc>
      </w:tr>
      <w:tr w:rsidR="002945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3875BE">
            <w:pPr>
              <w:widowControl w:val="0"/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u w:val="single"/>
              </w:rPr>
              <w:t>Predávajúci:</w:t>
            </w:r>
          </w:p>
        </w:tc>
        <w:tc>
          <w:tcPr>
            <w:tcW w:w="1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3875BE">
            <w:pPr>
              <w:widowControl w:val="0"/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u w:val="single"/>
              </w:rPr>
              <w:t>Kupujúci:</w:t>
            </w:r>
          </w:p>
        </w:tc>
      </w:tr>
      <w:tr w:rsidR="00294569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945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6" w:type="dxa"/>
            <w:tcBorders>
              <w:top w:val="single" w:sz="8" w:space="0" w:color="000001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3875B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Automobilové opravovne Ministerstva vnútra Slovenskej republiky, a. s.</w:t>
            </w:r>
          </w:p>
          <w:p w:rsidR="00294569" w:rsidRDefault="003875B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Ing. Peter Mitura</w:t>
            </w:r>
          </w:p>
          <w:p w:rsidR="00294569" w:rsidRDefault="003875B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</w:rPr>
              <w:t>predseda predstavenstva</w:t>
            </w:r>
          </w:p>
          <w:p w:rsidR="00294569" w:rsidRDefault="003875BE">
            <w:pPr>
              <w:widowControl w:val="0"/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</w:rPr>
              <w:t>(osvedčený podpis)</w:t>
            </w:r>
          </w:p>
        </w:tc>
        <w:tc>
          <w:tcPr>
            <w:tcW w:w="1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8" w:space="0" w:color="000001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3875B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……………………..</w:t>
            </w:r>
          </w:p>
          <w:p w:rsidR="00294569" w:rsidRDefault="003875B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…………….</w:t>
            </w:r>
          </w:p>
          <w:p w:rsidR="00294569" w:rsidRDefault="003875BE">
            <w:pPr>
              <w:widowControl w:val="0"/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</w:rPr>
              <w:t>………….</w:t>
            </w:r>
          </w:p>
        </w:tc>
      </w:tr>
      <w:tr w:rsidR="00294569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945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6" w:type="dxa"/>
            <w:tcBorders>
              <w:top w:val="single" w:sz="8" w:space="0" w:color="000001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3875B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Automobilové opravovne Ministerstva vnútra Slovenskej republiky, a. s.</w:t>
            </w:r>
          </w:p>
          <w:p w:rsidR="003C0653" w:rsidRPr="003C0653" w:rsidRDefault="003C065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  <w:r w:rsidRPr="003C0653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Ing. Pavol Pračko</w:t>
            </w:r>
          </w:p>
          <w:p w:rsidR="00294569" w:rsidRDefault="003875B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</w:rPr>
              <w:t>člen predstavenstva</w:t>
            </w:r>
          </w:p>
          <w:p w:rsidR="00294569" w:rsidRDefault="003875BE">
            <w:pPr>
              <w:widowControl w:val="0"/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</w:rPr>
              <w:t>(osvedčený podpis)</w:t>
            </w:r>
          </w:p>
        </w:tc>
        <w:tc>
          <w:tcPr>
            <w:tcW w:w="1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94569" w:rsidRDefault="00294569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4569" w:rsidRDefault="0029456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sectPr w:rsidR="00294569" w:rsidSect="009A001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BE" w:rsidRDefault="003875BE" w:rsidP="004808B5">
      <w:pPr>
        <w:spacing w:after="0" w:line="240" w:lineRule="auto"/>
      </w:pPr>
      <w:r>
        <w:separator/>
      </w:r>
    </w:p>
  </w:endnote>
  <w:endnote w:type="continuationSeparator" w:id="0">
    <w:p w:rsidR="003875BE" w:rsidRDefault="003875BE" w:rsidP="004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837859"/>
      <w:docPartObj>
        <w:docPartGallery w:val="Page Numbers (Bottom of Page)"/>
        <w:docPartUnique/>
      </w:docPartObj>
    </w:sdtPr>
    <w:sdtContent>
      <w:p w:rsidR="004808B5" w:rsidRDefault="004808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08B5" w:rsidRDefault="004808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BE" w:rsidRDefault="003875BE" w:rsidP="004808B5">
      <w:pPr>
        <w:spacing w:after="0" w:line="240" w:lineRule="auto"/>
      </w:pPr>
      <w:r>
        <w:separator/>
      </w:r>
    </w:p>
  </w:footnote>
  <w:footnote w:type="continuationSeparator" w:id="0">
    <w:p w:rsidR="003875BE" w:rsidRDefault="003875BE" w:rsidP="0048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972"/>
    <w:multiLevelType w:val="multilevel"/>
    <w:tmpl w:val="69B00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7D0E05"/>
    <w:multiLevelType w:val="multilevel"/>
    <w:tmpl w:val="21922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B33E5"/>
    <w:multiLevelType w:val="multilevel"/>
    <w:tmpl w:val="17A0C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582ADA"/>
    <w:multiLevelType w:val="multilevel"/>
    <w:tmpl w:val="57E2C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D13569"/>
    <w:multiLevelType w:val="multilevel"/>
    <w:tmpl w:val="70AE1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73D25"/>
    <w:multiLevelType w:val="multilevel"/>
    <w:tmpl w:val="F1C24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A574EA"/>
    <w:multiLevelType w:val="multilevel"/>
    <w:tmpl w:val="211C7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B03FBC"/>
    <w:multiLevelType w:val="multilevel"/>
    <w:tmpl w:val="A7EC9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C44521"/>
    <w:multiLevelType w:val="multilevel"/>
    <w:tmpl w:val="89945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C1BAE"/>
    <w:multiLevelType w:val="multilevel"/>
    <w:tmpl w:val="48C28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887ED2"/>
    <w:multiLevelType w:val="multilevel"/>
    <w:tmpl w:val="353E0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FA4C1B"/>
    <w:multiLevelType w:val="multilevel"/>
    <w:tmpl w:val="BE1A7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862F49"/>
    <w:multiLevelType w:val="multilevel"/>
    <w:tmpl w:val="615EC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569"/>
    <w:rsid w:val="00294569"/>
    <w:rsid w:val="003875BE"/>
    <w:rsid w:val="003C0653"/>
    <w:rsid w:val="004808B5"/>
    <w:rsid w:val="00617257"/>
    <w:rsid w:val="009A0010"/>
    <w:rsid w:val="00A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82F78"/>
  <w15:docId w15:val="{7365686E-53B7-47B1-8C3D-B3BF245A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08B5"/>
  </w:style>
  <w:style w:type="paragraph" w:styleId="Pta">
    <w:name w:val="footer"/>
    <w:basedOn w:val="Normlny"/>
    <w:link w:val="PtaChar"/>
    <w:uiPriority w:val="99"/>
    <w:unhideWhenUsed/>
    <w:rsid w:val="0048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Pavol Mužík</cp:lastModifiedBy>
  <cp:revision>6</cp:revision>
  <dcterms:created xsi:type="dcterms:W3CDTF">2019-11-12T12:09:00Z</dcterms:created>
  <dcterms:modified xsi:type="dcterms:W3CDTF">2019-11-12T12:12:00Z</dcterms:modified>
</cp:coreProperties>
</file>